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 xml:space="preserve">Анализ за социално-икономическите ползи за развитието на селския район, 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устойчивостта на инвестицията и анализ разходи-ползи (финансов анализ)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1. Анализ на текущото състояние и проблеми в селския район: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1.1. Демографска структура на местното население (възраст, пол, етническа принадлежност, доход, заетост, ниво на образование, здравен статус – в случай на проект за изграждане на социална инфраструктура);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1.2. Предлагани обществени услуги и инфраструктура, измерени в подходящи мерни единици (например на глава от населението за социални, културни, спортни и образователни; кв.м за площи за обществено ползване; брой и км за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 xml:space="preserve">пътища, улици и </w:t>
      </w:r>
      <w:proofErr w:type="spellStart"/>
      <w:r>
        <w:rPr>
          <w:rFonts w:ascii="Times New Roman" w:hAnsi="Times New Roman" w:cs="Times New Roman"/>
          <w:sz w:val="24"/>
          <w:szCs w:val="24"/>
          <w:lang/>
        </w:rPr>
        <w:t>ВиК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>); разпределение на услугите по населени места;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1.3. Заетост и доходи (ниво на безработица в момента и в исторически план;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какво е съотношението по пол, етническа принадлежност и т.н.; средна заплата).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2. Идентифицирани конкретни нужди, цели и приоритети вследствие на анализа на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/>
        </w:rPr>
        <w:t xml:space="preserve">текущото състояние и проблеми в селския район и във връзка с местните 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стратегии и общинските планове за развитие при отчитане целите и приоритетите на ПРСР 2014 – 2020.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3. Принос на избрания проект за подобряване условията на живот в селския район (Формулиране конкретните цели на проекта в контекста на общите цели и приоритети на местно ниво, както и степента, до която проектът ще посрещне реалните нужди):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3.1. Демографско влияние (брой и групи население, към които е насочен проектът);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3.2. Влияние върху предоставяните обществени услуги (подобряване достъпа до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 xml:space="preserve">обществени услуги; разнообразяване и/или подобряване качеството на услугите; привличане на </w:t>
      </w:r>
      <w:proofErr w:type="spellStart"/>
      <w:r>
        <w:rPr>
          <w:rFonts w:ascii="Times New Roman" w:hAnsi="Times New Roman" w:cs="Times New Roman"/>
          <w:sz w:val="24"/>
          <w:szCs w:val="24"/>
          <w:lang/>
        </w:rPr>
        <w:t>не-резиденти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като туристи или с цел заетост);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3.3. Влияние върху заетостта и доходите (вкл. трудовата мобилност и привличане на </w:t>
      </w:r>
      <w:proofErr w:type="spellStart"/>
      <w:r>
        <w:rPr>
          <w:rFonts w:ascii="Times New Roman" w:hAnsi="Times New Roman" w:cs="Times New Roman"/>
          <w:sz w:val="24"/>
          <w:szCs w:val="24"/>
          <w:lang/>
        </w:rPr>
        <w:t>не-резиденти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с цел заетост – разкриване на нови работни места – временни за целите на проекта и/или постоянни; промяна в размера и структурата на доходите);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3.4. Влияние върху качеството на живот.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4. Анализ на устойчивостта на инвестицията: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4.1. Уместност и приемливост (степента, до която проектът отговаря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 xml:space="preserve"> действителните нужди и целите му, съгласувани с приоритетите на национално, секторно, местно ниво);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4.2. Капацитет за продължаване на предоставяне на услугата и поддръжка (кой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ще е отговорен за оперирането и поддръжката – идентифицирани ли са източниците на необходимите финансови средства, осигурени ли са необходимите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 xml:space="preserve">човешки ресурси, оборудване); 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4.3. Продължителност на участието на местната общност (за проекти, където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активното участие на общността е от решаващо значение както за стимулирането на продължаването на предоставянето на услугата, така и за възстановяването на разходите по предоставянето й);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4.4. Екологична стабилност (дали проектът е взел предвид влиянието върху</w:t>
      </w:r>
      <w:r w:rsidR="00B30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околната среда, така че негативните въздействия да бъдат или избегнати, или намалени).</w:t>
      </w:r>
    </w:p>
    <w:p w:rsidR="00ED3BB2" w:rsidRDefault="00ED3BB2" w:rsidP="00ED3B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5. Анализ разходи-ползи (финансов анализ):</w:t>
      </w:r>
    </w:p>
    <w:p w:rsidR="009D3D5E" w:rsidRDefault="00ED3BB2" w:rsidP="00B300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/>
        </w:rPr>
        <w:t>Представя се икономическа/финансова жизнеспособност на проекта (за проекти,</w:t>
      </w:r>
      <w:r w:rsidR="00B30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генериращи приходи) – дали всички разходи и ползи са оценени и претеглени и дали проектът гарантира приемливо ниво на финансова и</w:t>
      </w:r>
      <w:r w:rsidR="00B300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икономическа възвращаемост.</w:t>
      </w:r>
    </w:p>
    <w:p w:rsidR="00474B81" w:rsidRDefault="00474B81" w:rsidP="00B300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74B81" w:rsidRPr="00474B81" w:rsidRDefault="00474B81" w:rsidP="00B300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Дата:                                                                         Подпис:</w:t>
      </w:r>
      <w:bookmarkStart w:id="0" w:name="_GoBack"/>
      <w:bookmarkEnd w:id="0"/>
    </w:p>
    <w:sectPr w:rsidR="00474B81" w:rsidRPr="00474B81" w:rsidSect="00596D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134" w:header="5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1EA" w:rsidRDefault="005871EA" w:rsidP="00596D7C">
      <w:pPr>
        <w:spacing w:after="0" w:line="240" w:lineRule="auto"/>
      </w:pPr>
      <w:r>
        <w:separator/>
      </w:r>
    </w:p>
  </w:endnote>
  <w:endnote w:type="continuationSeparator" w:id="0">
    <w:p w:rsidR="005871EA" w:rsidRDefault="005871EA" w:rsidP="0059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D7C" w:rsidRDefault="00596D7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D7C" w:rsidRDefault="00596D7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D7C" w:rsidRDefault="00596D7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1EA" w:rsidRDefault="005871EA" w:rsidP="00596D7C">
      <w:pPr>
        <w:spacing w:after="0" w:line="240" w:lineRule="auto"/>
      </w:pPr>
      <w:r>
        <w:separator/>
      </w:r>
    </w:p>
  </w:footnote>
  <w:footnote w:type="continuationSeparator" w:id="0">
    <w:p w:rsidR="005871EA" w:rsidRDefault="005871EA" w:rsidP="0059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D7C" w:rsidRDefault="00596D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D7C" w:rsidRDefault="00596D7C" w:rsidP="00596D7C">
    <w:r>
      <w:rPr>
        <w:lang w:val="bg-BG"/>
      </w:rPr>
      <w:t xml:space="preserve">       </w:t>
    </w:r>
    <w:r>
      <w:rPr>
        <w:noProof/>
        <w:lang w:val="bg-BG" w:eastAsia="bg-BG"/>
      </w:rPr>
      <w:drawing>
        <wp:inline distT="0" distB="0" distL="0" distR="0">
          <wp:extent cx="892810" cy="645160"/>
          <wp:effectExtent l="19050" t="0" r="254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645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val="bg-BG" w:eastAsia="bg-BG"/>
      </w:rPr>
      <w:drawing>
        <wp:inline distT="0" distB="0" distL="0" distR="0">
          <wp:extent cx="968375" cy="537845"/>
          <wp:effectExtent l="19050" t="0" r="3175" b="0"/>
          <wp:docPr id="2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375" cy="537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val="bg-BG" w:eastAsia="bg-BG"/>
      </w:rPr>
      <w:drawing>
        <wp:inline distT="0" distB="0" distL="0" distR="0">
          <wp:extent cx="763905" cy="635000"/>
          <wp:effectExtent l="1905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" cy="635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</w:t>
    </w:r>
    <w:r>
      <w:rPr>
        <w:i/>
        <w:noProof/>
        <w:lang w:val="bg-BG" w:eastAsia="bg-BG"/>
      </w:rPr>
      <w:drawing>
        <wp:inline distT="0" distB="0" distL="0" distR="0">
          <wp:extent cx="1689100" cy="720725"/>
          <wp:effectExtent l="19050" t="0" r="6350" b="0"/>
          <wp:docPr id="4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9100" cy="720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96D7C" w:rsidRPr="00596D7C" w:rsidRDefault="00596D7C" w:rsidP="00596D7C">
    <w:pPr>
      <w:spacing w:after="0"/>
      <w:jc w:val="center"/>
      <w:rPr>
        <w:rFonts w:ascii="Times New Roman" w:hAnsi="Times New Roman" w:cs="Times New Roman"/>
        <w:b/>
        <w:iCs/>
        <w:sz w:val="18"/>
        <w:szCs w:val="18"/>
      </w:rPr>
    </w:pPr>
    <w:r w:rsidRPr="00596D7C">
      <w:rPr>
        <w:rFonts w:ascii="Times New Roman" w:hAnsi="Times New Roman" w:cs="Times New Roman"/>
        <w:b/>
        <w:iCs/>
        <w:sz w:val="18"/>
        <w:szCs w:val="18"/>
        <w:lang w:val="ru-RU"/>
      </w:rPr>
      <w:t xml:space="preserve">Европейски </w:t>
    </w:r>
    <w:proofErr w:type="spellStart"/>
    <w:r w:rsidRPr="00596D7C">
      <w:rPr>
        <w:rFonts w:ascii="Times New Roman" w:hAnsi="Times New Roman" w:cs="Times New Roman"/>
        <w:b/>
        <w:iCs/>
        <w:sz w:val="18"/>
        <w:szCs w:val="18"/>
        <w:lang w:val="ru-RU"/>
      </w:rPr>
      <w:t>земеделски</w:t>
    </w:r>
    <w:proofErr w:type="spellEnd"/>
    <w:r w:rsidRPr="00596D7C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фонд за развитие на </w:t>
    </w:r>
    <w:proofErr w:type="spellStart"/>
    <w:r w:rsidRPr="00596D7C">
      <w:rPr>
        <w:rFonts w:ascii="Times New Roman" w:hAnsi="Times New Roman" w:cs="Times New Roman"/>
        <w:b/>
        <w:iCs/>
        <w:sz w:val="18"/>
        <w:szCs w:val="18"/>
        <w:lang w:val="ru-RU"/>
      </w:rPr>
      <w:t>селските</w:t>
    </w:r>
    <w:proofErr w:type="spellEnd"/>
    <w:r w:rsidRPr="00596D7C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</w:t>
    </w:r>
    <w:proofErr w:type="spellStart"/>
    <w:r w:rsidRPr="00596D7C">
      <w:rPr>
        <w:rFonts w:ascii="Times New Roman" w:hAnsi="Times New Roman" w:cs="Times New Roman"/>
        <w:b/>
        <w:iCs/>
        <w:sz w:val="18"/>
        <w:szCs w:val="18"/>
        <w:lang w:val="ru-RU"/>
      </w:rPr>
      <w:t>райони</w:t>
    </w:r>
    <w:proofErr w:type="spellEnd"/>
    <w:r w:rsidRPr="00596D7C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– Европа </w:t>
    </w:r>
    <w:proofErr w:type="spellStart"/>
    <w:r w:rsidRPr="00596D7C">
      <w:rPr>
        <w:rFonts w:ascii="Times New Roman" w:hAnsi="Times New Roman" w:cs="Times New Roman"/>
        <w:b/>
        <w:iCs/>
        <w:sz w:val="18"/>
        <w:szCs w:val="18"/>
        <w:lang w:val="ru-RU"/>
      </w:rPr>
      <w:t>инвестира</w:t>
    </w:r>
    <w:proofErr w:type="spellEnd"/>
    <w:r w:rsidRPr="00596D7C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в </w:t>
    </w:r>
    <w:proofErr w:type="spellStart"/>
    <w:r w:rsidRPr="00596D7C">
      <w:rPr>
        <w:rFonts w:ascii="Times New Roman" w:hAnsi="Times New Roman" w:cs="Times New Roman"/>
        <w:b/>
        <w:iCs/>
        <w:sz w:val="18"/>
        <w:szCs w:val="18"/>
        <w:lang w:val="ru-RU"/>
      </w:rPr>
      <w:t>селските</w:t>
    </w:r>
    <w:proofErr w:type="spellEnd"/>
    <w:r w:rsidRPr="00596D7C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</w:t>
    </w:r>
    <w:proofErr w:type="spellStart"/>
    <w:r w:rsidRPr="00596D7C">
      <w:rPr>
        <w:rFonts w:ascii="Times New Roman" w:hAnsi="Times New Roman" w:cs="Times New Roman"/>
        <w:b/>
        <w:iCs/>
        <w:sz w:val="18"/>
        <w:szCs w:val="18"/>
        <w:lang w:val="ru-RU"/>
      </w:rPr>
      <w:t>райони</w:t>
    </w:r>
    <w:proofErr w:type="spellEnd"/>
  </w:p>
  <w:p w:rsidR="00596D7C" w:rsidRPr="00596D7C" w:rsidRDefault="00596D7C" w:rsidP="00596D7C">
    <w:pPr>
      <w:spacing w:after="0"/>
      <w:jc w:val="center"/>
      <w:rPr>
        <w:rFonts w:ascii="Times New Roman" w:hAnsi="Times New Roman" w:cs="Times New Roman"/>
        <w:b/>
        <w:sz w:val="18"/>
        <w:szCs w:val="18"/>
        <w:lang w:val="ru-RU"/>
      </w:rPr>
    </w:pPr>
    <w:r w:rsidRPr="00596D7C">
      <w:rPr>
        <w:rFonts w:ascii="Times New Roman" w:hAnsi="Times New Roman" w:cs="Times New Roman"/>
        <w:b/>
        <w:sz w:val="18"/>
        <w:szCs w:val="18"/>
        <w:lang w:val="ru-RU"/>
      </w:rPr>
      <w:t>ПРОГРАМА ЗА РАЗВИТИЕ НА СЕЛСКИТЕ РАЙОНИ   2014 – 2020 г.</w:t>
    </w:r>
  </w:p>
  <w:p w:rsidR="00596D7C" w:rsidRDefault="00596D7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D7C" w:rsidRDefault="00596D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3BB2"/>
    <w:rsid w:val="00474B81"/>
    <w:rsid w:val="00507287"/>
    <w:rsid w:val="005871EA"/>
    <w:rsid w:val="00596D7C"/>
    <w:rsid w:val="00997D77"/>
    <w:rsid w:val="00AB049C"/>
    <w:rsid w:val="00B30086"/>
    <w:rsid w:val="00ED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BB2"/>
    <w:rPr>
      <w:rFonts w:eastAsiaTheme="minorEastAsia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6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596D7C"/>
    <w:rPr>
      <w:rFonts w:eastAsiaTheme="minorEastAsia"/>
      <w:lang w:eastAsia="en-GB"/>
    </w:rPr>
  </w:style>
  <w:style w:type="paragraph" w:styleId="a5">
    <w:name w:val="footer"/>
    <w:basedOn w:val="a"/>
    <w:link w:val="a6"/>
    <w:uiPriority w:val="99"/>
    <w:semiHidden/>
    <w:unhideWhenUsed/>
    <w:rsid w:val="00596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596D7C"/>
    <w:rPr>
      <w:rFonts w:eastAsiaTheme="minorEastAsia"/>
      <w:lang w:eastAsia="en-GB"/>
    </w:rPr>
  </w:style>
  <w:style w:type="paragraph" w:styleId="a7">
    <w:name w:val="Balloon Text"/>
    <w:basedOn w:val="a"/>
    <w:link w:val="a8"/>
    <w:uiPriority w:val="99"/>
    <w:semiHidden/>
    <w:unhideWhenUsed/>
    <w:rsid w:val="00596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96D7C"/>
    <w:rPr>
      <w:rFonts w:ascii="Tahoma" w:eastAsiaTheme="minorEastAsia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B2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472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office1</dc:creator>
  <cp:lastModifiedBy>User</cp:lastModifiedBy>
  <cp:revision>5</cp:revision>
  <dcterms:created xsi:type="dcterms:W3CDTF">2018-04-05T08:28:00Z</dcterms:created>
  <dcterms:modified xsi:type="dcterms:W3CDTF">2018-09-17T09:03:00Z</dcterms:modified>
</cp:coreProperties>
</file>